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B5ECBCC">
      <w:pPr>
        <w:jc w:val="center"/>
        <w:rPr>
          <w:rFonts w:ascii="宋体" w:hAnsi="宋体"/>
          <w:b/>
          <w:sz w:val="36"/>
          <w:szCs w:val="36"/>
        </w:rPr>
      </w:pPr>
      <w:r>
        <w:rPr>
          <w:rFonts w:hint="eastAsia" w:ascii="宋体" w:hAnsi="宋体"/>
          <w:b/>
          <w:sz w:val="36"/>
          <w:szCs w:val="36"/>
        </w:rPr>
        <w:t>中</w:t>
      </w:r>
      <w:r>
        <w:rPr>
          <w:rFonts w:hint="eastAsia" w:ascii="宋体" w:hAnsi="宋体"/>
          <w:b/>
          <w:sz w:val="36"/>
          <w:szCs w:val="36"/>
          <w:lang w:eastAsia="zh-CN"/>
        </w:rPr>
        <w:t>选</w:t>
      </w:r>
      <w:r>
        <w:rPr>
          <w:rFonts w:hint="eastAsia" w:ascii="宋体" w:hAnsi="宋体"/>
          <w:b/>
          <w:sz w:val="36"/>
          <w:szCs w:val="36"/>
        </w:rPr>
        <w:t>公示</w:t>
      </w:r>
    </w:p>
    <w:tbl>
      <w:tblPr>
        <w:tblStyle w:val="8"/>
        <w:tblW w:w="144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23"/>
        <w:gridCol w:w="12557"/>
      </w:tblGrid>
      <w:tr w14:paraId="576E23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jc w:val="center"/>
        </w:trPr>
        <w:tc>
          <w:tcPr>
            <w:tcW w:w="1923" w:type="dxa"/>
            <w:vAlign w:val="center"/>
          </w:tcPr>
          <w:p w14:paraId="59B954E2">
            <w:pPr>
              <w:keepNext w:val="0"/>
              <w:keepLines w:val="0"/>
              <w:pageBreakBefore w:val="0"/>
              <w:kinsoku/>
              <w:wordWrap/>
              <w:overflowPunct/>
              <w:topLinePunct w:val="0"/>
              <w:autoSpaceDE/>
              <w:autoSpaceDN/>
              <w:bidi w:val="0"/>
              <w:adjustRightInd/>
              <w:snapToGrid/>
              <w:spacing w:line="300" w:lineRule="exact"/>
              <w:jc w:val="center"/>
            </w:pPr>
            <w:r>
              <w:rPr>
                <w:rFonts w:hint="eastAsia"/>
                <w:b/>
                <w:sz w:val="24"/>
                <w:szCs w:val="24"/>
                <w:lang w:eastAsia="zh-CN"/>
              </w:rPr>
              <w:t>项目</w:t>
            </w:r>
            <w:r>
              <w:rPr>
                <w:rFonts w:hint="eastAsia"/>
                <w:b/>
                <w:sz w:val="24"/>
                <w:szCs w:val="24"/>
              </w:rPr>
              <w:t>编号</w:t>
            </w:r>
          </w:p>
        </w:tc>
        <w:tc>
          <w:tcPr>
            <w:tcW w:w="12557" w:type="dxa"/>
            <w:vAlign w:val="center"/>
          </w:tcPr>
          <w:p w14:paraId="5EC0E267">
            <w:pPr>
              <w:keepNext w:val="0"/>
              <w:keepLines w:val="0"/>
              <w:pageBreakBefore w:val="0"/>
              <w:kinsoku/>
              <w:wordWrap/>
              <w:overflowPunct/>
              <w:topLinePunct w:val="0"/>
              <w:autoSpaceDE/>
              <w:autoSpaceDN/>
              <w:bidi w:val="0"/>
              <w:adjustRightInd/>
              <w:snapToGrid/>
              <w:spacing w:line="300" w:lineRule="exact"/>
              <w:rPr>
                <w:rFonts w:hint="default" w:eastAsiaTheme="minorEastAsia"/>
                <w:sz w:val="21"/>
                <w:szCs w:val="21"/>
                <w:lang w:val="en-US" w:eastAsia="zh-CN"/>
              </w:rPr>
            </w:pPr>
            <w:r>
              <w:rPr>
                <w:rFonts w:hint="default" w:eastAsiaTheme="minorEastAsia"/>
                <w:sz w:val="21"/>
                <w:szCs w:val="21"/>
                <w:lang w:val="en-US" w:eastAsia="zh-CN"/>
              </w:rPr>
              <w:t>JD202</w:t>
            </w:r>
            <w:r>
              <w:rPr>
                <w:rFonts w:hint="eastAsia"/>
                <w:sz w:val="21"/>
                <w:szCs w:val="21"/>
                <w:lang w:val="en-US" w:eastAsia="zh-CN"/>
              </w:rPr>
              <w:t>4</w:t>
            </w:r>
            <w:r>
              <w:rPr>
                <w:rFonts w:hint="default" w:eastAsiaTheme="minorEastAsia"/>
                <w:sz w:val="21"/>
                <w:szCs w:val="21"/>
                <w:lang w:val="en-US" w:eastAsia="zh-CN"/>
              </w:rPr>
              <w:t>A小-</w:t>
            </w:r>
            <w:r>
              <w:rPr>
                <w:rFonts w:hint="eastAsia"/>
                <w:sz w:val="21"/>
                <w:szCs w:val="21"/>
                <w:lang w:val="en-US" w:eastAsia="zh-CN"/>
              </w:rPr>
              <w:t>082</w:t>
            </w:r>
          </w:p>
        </w:tc>
      </w:tr>
      <w:tr w14:paraId="1604F5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atLeast"/>
          <w:jc w:val="center"/>
        </w:trPr>
        <w:tc>
          <w:tcPr>
            <w:tcW w:w="1923" w:type="dxa"/>
            <w:vAlign w:val="center"/>
          </w:tcPr>
          <w:p w14:paraId="15DCC507">
            <w:pPr>
              <w:keepNext w:val="0"/>
              <w:keepLines w:val="0"/>
              <w:pageBreakBefore w:val="0"/>
              <w:kinsoku/>
              <w:wordWrap/>
              <w:overflowPunct/>
              <w:topLinePunct w:val="0"/>
              <w:autoSpaceDE/>
              <w:autoSpaceDN/>
              <w:bidi w:val="0"/>
              <w:adjustRightInd/>
              <w:snapToGrid/>
              <w:spacing w:line="300" w:lineRule="exact"/>
              <w:jc w:val="center"/>
            </w:pPr>
            <w:r>
              <w:rPr>
                <w:rFonts w:hint="eastAsia"/>
                <w:b/>
                <w:sz w:val="24"/>
                <w:szCs w:val="24"/>
              </w:rPr>
              <w:t>工程名称</w:t>
            </w:r>
          </w:p>
        </w:tc>
        <w:tc>
          <w:tcPr>
            <w:tcW w:w="12557" w:type="dxa"/>
            <w:vAlign w:val="center"/>
          </w:tcPr>
          <w:p w14:paraId="26881C36">
            <w:pPr>
              <w:jc w:val="left"/>
              <w:rPr>
                <w:rFonts w:hint="eastAsia" w:eastAsiaTheme="minorEastAsia"/>
                <w:bCs/>
                <w:sz w:val="21"/>
                <w:szCs w:val="21"/>
                <w:lang w:eastAsia="zh-CN"/>
              </w:rPr>
            </w:pPr>
            <w:r>
              <w:rPr>
                <w:rFonts w:hint="eastAsia"/>
                <w:bCs/>
                <w:sz w:val="21"/>
                <w:szCs w:val="21"/>
                <w:lang w:eastAsia="zh-CN"/>
              </w:rPr>
              <w:t>建德市市级文物保护单位紫薇第修缮工程</w:t>
            </w:r>
          </w:p>
        </w:tc>
      </w:tr>
      <w:tr w14:paraId="1F15A4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jc w:val="center"/>
        </w:trPr>
        <w:tc>
          <w:tcPr>
            <w:tcW w:w="1923" w:type="dxa"/>
            <w:vAlign w:val="center"/>
          </w:tcPr>
          <w:p w14:paraId="1CAE5F9C">
            <w:pPr>
              <w:keepNext w:val="0"/>
              <w:keepLines w:val="0"/>
              <w:pageBreakBefore w:val="0"/>
              <w:kinsoku/>
              <w:wordWrap/>
              <w:overflowPunct/>
              <w:topLinePunct w:val="0"/>
              <w:autoSpaceDE/>
              <w:autoSpaceDN/>
              <w:bidi w:val="0"/>
              <w:adjustRightInd/>
              <w:snapToGrid/>
              <w:spacing w:line="300" w:lineRule="exact"/>
              <w:jc w:val="center"/>
              <w:rPr>
                <w:rFonts w:hint="eastAsia" w:eastAsiaTheme="minorEastAsia"/>
                <w:lang w:eastAsia="zh-CN"/>
              </w:rPr>
            </w:pPr>
            <w:r>
              <w:rPr>
                <w:rFonts w:hint="eastAsia"/>
                <w:b/>
                <w:sz w:val="24"/>
                <w:szCs w:val="24"/>
                <w:lang w:eastAsia="zh-CN"/>
              </w:rPr>
              <w:t>建设单位</w:t>
            </w:r>
          </w:p>
        </w:tc>
        <w:tc>
          <w:tcPr>
            <w:tcW w:w="12557" w:type="dxa"/>
            <w:vAlign w:val="center"/>
          </w:tcPr>
          <w:p w14:paraId="47304089">
            <w:pPr>
              <w:keepNext w:val="0"/>
              <w:keepLines w:val="0"/>
              <w:pageBreakBefore w:val="0"/>
              <w:kinsoku/>
              <w:wordWrap/>
              <w:overflowPunct/>
              <w:topLinePunct w:val="0"/>
              <w:autoSpaceDE/>
              <w:autoSpaceDN/>
              <w:bidi w:val="0"/>
              <w:adjustRightInd/>
              <w:snapToGrid/>
              <w:spacing w:line="300" w:lineRule="exact"/>
              <w:rPr>
                <w:rFonts w:hint="eastAsia" w:eastAsiaTheme="minorEastAsia"/>
                <w:sz w:val="21"/>
                <w:szCs w:val="21"/>
                <w:lang w:eastAsia="zh-CN"/>
              </w:rPr>
            </w:pPr>
            <w:r>
              <w:rPr>
                <w:rFonts w:hint="eastAsia" w:eastAsiaTheme="minorEastAsia"/>
                <w:sz w:val="21"/>
                <w:szCs w:val="21"/>
                <w:lang w:eastAsia="zh-CN"/>
              </w:rPr>
              <w:t>建德市寿昌镇乌石村股份经济合作社</w:t>
            </w:r>
          </w:p>
        </w:tc>
      </w:tr>
      <w:tr w14:paraId="42A520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 w:hRule="atLeast"/>
          <w:jc w:val="center"/>
        </w:trPr>
        <w:tc>
          <w:tcPr>
            <w:tcW w:w="1923" w:type="dxa"/>
            <w:vAlign w:val="center"/>
          </w:tcPr>
          <w:p w14:paraId="18457F2C">
            <w:pPr>
              <w:keepNext w:val="0"/>
              <w:keepLines w:val="0"/>
              <w:pageBreakBefore w:val="0"/>
              <w:kinsoku/>
              <w:wordWrap/>
              <w:overflowPunct/>
              <w:topLinePunct w:val="0"/>
              <w:autoSpaceDE/>
              <w:autoSpaceDN/>
              <w:bidi w:val="0"/>
              <w:adjustRightInd/>
              <w:snapToGrid/>
              <w:spacing w:line="300" w:lineRule="exact"/>
              <w:jc w:val="center"/>
            </w:pPr>
            <w:r>
              <w:rPr>
                <w:rFonts w:hint="eastAsia"/>
                <w:b/>
                <w:sz w:val="24"/>
                <w:szCs w:val="24"/>
              </w:rPr>
              <w:t>代理机构</w:t>
            </w:r>
          </w:p>
        </w:tc>
        <w:tc>
          <w:tcPr>
            <w:tcW w:w="12557" w:type="dxa"/>
            <w:vAlign w:val="center"/>
          </w:tcPr>
          <w:p w14:paraId="47E770E6">
            <w:pPr>
              <w:keepNext w:val="0"/>
              <w:keepLines w:val="0"/>
              <w:pageBreakBefore w:val="0"/>
              <w:kinsoku/>
              <w:wordWrap/>
              <w:overflowPunct/>
              <w:topLinePunct w:val="0"/>
              <w:autoSpaceDE/>
              <w:autoSpaceDN/>
              <w:bidi w:val="0"/>
              <w:adjustRightInd/>
              <w:snapToGrid/>
              <w:spacing w:line="300" w:lineRule="exact"/>
              <w:rPr>
                <w:sz w:val="21"/>
                <w:szCs w:val="21"/>
              </w:rPr>
            </w:pPr>
            <w:r>
              <w:rPr>
                <w:rFonts w:hint="eastAsia"/>
                <w:sz w:val="21"/>
                <w:szCs w:val="21"/>
              </w:rPr>
              <w:t xml:space="preserve">浙江建安工程管理有限公司 </w:t>
            </w:r>
          </w:p>
        </w:tc>
      </w:tr>
      <w:tr w14:paraId="25416E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7" w:hRule="atLeast"/>
          <w:jc w:val="center"/>
        </w:trPr>
        <w:tc>
          <w:tcPr>
            <w:tcW w:w="1923" w:type="dxa"/>
            <w:vAlign w:val="center"/>
          </w:tcPr>
          <w:p w14:paraId="52775621">
            <w:pPr>
              <w:keepNext w:val="0"/>
              <w:keepLines w:val="0"/>
              <w:pageBreakBefore w:val="0"/>
              <w:kinsoku/>
              <w:wordWrap/>
              <w:overflowPunct/>
              <w:topLinePunct w:val="0"/>
              <w:autoSpaceDE/>
              <w:autoSpaceDN/>
              <w:bidi w:val="0"/>
              <w:adjustRightInd/>
              <w:snapToGrid/>
              <w:spacing w:line="300" w:lineRule="exact"/>
              <w:jc w:val="center"/>
            </w:pPr>
            <w:r>
              <w:rPr>
                <w:rFonts w:hint="eastAsia"/>
                <w:b/>
                <w:sz w:val="24"/>
                <w:szCs w:val="24"/>
              </w:rPr>
              <w:t>监管单位</w:t>
            </w:r>
          </w:p>
        </w:tc>
        <w:tc>
          <w:tcPr>
            <w:tcW w:w="12557" w:type="dxa"/>
            <w:vAlign w:val="center"/>
          </w:tcPr>
          <w:p w14:paraId="4B16060F">
            <w:pPr>
              <w:keepNext w:val="0"/>
              <w:keepLines w:val="0"/>
              <w:pageBreakBefore w:val="0"/>
              <w:kinsoku/>
              <w:wordWrap/>
              <w:overflowPunct/>
              <w:topLinePunct w:val="0"/>
              <w:autoSpaceDE/>
              <w:autoSpaceDN/>
              <w:bidi w:val="0"/>
              <w:adjustRightInd/>
              <w:snapToGrid/>
              <w:spacing w:line="300" w:lineRule="exact"/>
              <w:rPr>
                <w:rFonts w:hint="eastAsia" w:eastAsiaTheme="minorEastAsia"/>
                <w:sz w:val="21"/>
                <w:szCs w:val="21"/>
                <w:lang w:val="en-US" w:eastAsia="zh-CN"/>
              </w:rPr>
            </w:pPr>
            <w:r>
              <w:rPr>
                <w:rFonts w:hint="eastAsia"/>
                <w:sz w:val="21"/>
                <w:szCs w:val="21"/>
                <w:lang w:eastAsia="zh-CN"/>
              </w:rPr>
              <w:t>建德市文物局</w:t>
            </w:r>
          </w:p>
        </w:tc>
      </w:tr>
      <w:tr w14:paraId="5A2B1D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4" w:hRule="atLeast"/>
          <w:jc w:val="center"/>
        </w:trPr>
        <w:tc>
          <w:tcPr>
            <w:tcW w:w="1923" w:type="dxa"/>
            <w:vAlign w:val="center"/>
          </w:tcPr>
          <w:p w14:paraId="50686CA1">
            <w:pPr>
              <w:keepNext w:val="0"/>
              <w:keepLines w:val="0"/>
              <w:pageBreakBefore w:val="0"/>
              <w:kinsoku/>
              <w:wordWrap/>
              <w:overflowPunct/>
              <w:topLinePunct w:val="0"/>
              <w:autoSpaceDE/>
              <w:autoSpaceDN/>
              <w:bidi w:val="0"/>
              <w:adjustRightInd/>
              <w:snapToGrid/>
              <w:spacing w:line="300" w:lineRule="exact"/>
              <w:jc w:val="center"/>
            </w:pPr>
            <w:r>
              <w:rPr>
                <w:rFonts w:hint="eastAsia"/>
                <w:b/>
                <w:sz w:val="24"/>
                <w:szCs w:val="24"/>
              </w:rPr>
              <w:t>监管电话</w:t>
            </w:r>
          </w:p>
        </w:tc>
        <w:tc>
          <w:tcPr>
            <w:tcW w:w="12557" w:type="dxa"/>
            <w:vAlign w:val="center"/>
          </w:tcPr>
          <w:p w14:paraId="42A9BC93">
            <w:pPr>
              <w:keepNext w:val="0"/>
              <w:keepLines w:val="0"/>
              <w:pageBreakBefore w:val="0"/>
              <w:kinsoku/>
              <w:wordWrap/>
              <w:overflowPunct/>
              <w:topLinePunct w:val="0"/>
              <w:autoSpaceDE/>
              <w:autoSpaceDN/>
              <w:bidi w:val="0"/>
              <w:adjustRightInd/>
              <w:snapToGrid/>
              <w:spacing w:line="300" w:lineRule="exact"/>
              <w:rPr>
                <w:rFonts w:hint="default" w:eastAsiaTheme="minorEastAsia"/>
                <w:sz w:val="21"/>
                <w:szCs w:val="21"/>
                <w:lang w:val="en-US" w:eastAsia="zh-CN"/>
              </w:rPr>
            </w:pPr>
            <w:r>
              <w:rPr>
                <w:rFonts w:hint="default" w:eastAsiaTheme="minorEastAsia"/>
                <w:sz w:val="21"/>
                <w:szCs w:val="21"/>
                <w:lang w:val="en-US" w:eastAsia="zh-CN"/>
              </w:rPr>
              <w:t>0571-64711681</w:t>
            </w:r>
          </w:p>
        </w:tc>
      </w:tr>
      <w:tr w14:paraId="17CCA3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 w:hRule="atLeast"/>
          <w:jc w:val="center"/>
        </w:trPr>
        <w:tc>
          <w:tcPr>
            <w:tcW w:w="1923" w:type="dxa"/>
            <w:vAlign w:val="center"/>
          </w:tcPr>
          <w:p w14:paraId="0FA2E2EA">
            <w:pPr>
              <w:keepNext w:val="0"/>
              <w:keepLines w:val="0"/>
              <w:pageBreakBefore w:val="0"/>
              <w:kinsoku/>
              <w:wordWrap/>
              <w:overflowPunct/>
              <w:topLinePunct w:val="0"/>
              <w:autoSpaceDE/>
              <w:autoSpaceDN/>
              <w:bidi w:val="0"/>
              <w:adjustRightInd/>
              <w:snapToGrid/>
              <w:spacing w:line="300" w:lineRule="exact"/>
              <w:jc w:val="center"/>
            </w:pPr>
            <w:r>
              <w:rPr>
                <w:rFonts w:hint="eastAsia"/>
                <w:b/>
                <w:sz w:val="24"/>
                <w:szCs w:val="24"/>
              </w:rPr>
              <w:t>公示时间</w:t>
            </w:r>
          </w:p>
        </w:tc>
        <w:tc>
          <w:tcPr>
            <w:tcW w:w="12557" w:type="dxa"/>
            <w:vAlign w:val="center"/>
          </w:tcPr>
          <w:p w14:paraId="76E861A9">
            <w:pPr>
              <w:keepNext w:val="0"/>
              <w:keepLines w:val="0"/>
              <w:pageBreakBefore w:val="0"/>
              <w:kinsoku/>
              <w:wordWrap/>
              <w:overflowPunct/>
              <w:topLinePunct w:val="0"/>
              <w:autoSpaceDE/>
              <w:autoSpaceDN/>
              <w:bidi w:val="0"/>
              <w:adjustRightInd/>
              <w:snapToGrid/>
              <w:spacing w:line="300" w:lineRule="exact"/>
              <w:rPr>
                <w:rFonts w:asciiTheme="majorEastAsia" w:hAnsiTheme="majorEastAsia" w:eastAsiaTheme="majorEastAsia"/>
                <w:sz w:val="21"/>
                <w:szCs w:val="21"/>
              </w:rPr>
            </w:pPr>
            <w:r>
              <w:rPr>
                <w:rFonts w:hint="eastAsia" w:asciiTheme="majorEastAsia" w:hAnsiTheme="majorEastAsia" w:eastAsiaTheme="majorEastAsia"/>
                <w:sz w:val="21"/>
                <w:szCs w:val="21"/>
              </w:rPr>
              <w:t>20</w:t>
            </w:r>
            <w:r>
              <w:rPr>
                <w:rFonts w:hint="eastAsia" w:asciiTheme="majorEastAsia" w:hAnsiTheme="majorEastAsia" w:eastAsiaTheme="majorEastAsia"/>
                <w:sz w:val="21"/>
                <w:szCs w:val="21"/>
                <w:lang w:val="en-US" w:eastAsia="zh-CN"/>
              </w:rPr>
              <w:t>25</w:t>
            </w:r>
            <w:r>
              <w:rPr>
                <w:rFonts w:hint="eastAsia" w:asciiTheme="majorEastAsia" w:hAnsiTheme="majorEastAsia" w:eastAsiaTheme="majorEastAsia"/>
                <w:sz w:val="21"/>
                <w:szCs w:val="21"/>
              </w:rPr>
              <w:t>-</w:t>
            </w:r>
            <w:r>
              <w:rPr>
                <w:rFonts w:hint="eastAsia" w:asciiTheme="majorEastAsia" w:hAnsiTheme="majorEastAsia" w:eastAsiaTheme="majorEastAsia"/>
                <w:sz w:val="21"/>
                <w:szCs w:val="21"/>
                <w:lang w:val="en-US" w:eastAsia="zh-CN"/>
              </w:rPr>
              <w:t xml:space="preserve">01-07 </w:t>
            </w:r>
            <w:r>
              <w:rPr>
                <w:rFonts w:hint="eastAsia" w:asciiTheme="majorEastAsia" w:hAnsiTheme="majorEastAsia" w:eastAsiaTheme="majorEastAsia"/>
                <w:sz w:val="21"/>
                <w:szCs w:val="21"/>
              </w:rPr>
              <w:t>1</w:t>
            </w:r>
            <w:r>
              <w:rPr>
                <w:rFonts w:hint="eastAsia" w:asciiTheme="majorEastAsia" w:hAnsiTheme="majorEastAsia" w:eastAsiaTheme="majorEastAsia"/>
                <w:sz w:val="21"/>
                <w:szCs w:val="21"/>
                <w:lang w:val="en-US" w:eastAsia="zh-CN"/>
              </w:rPr>
              <w:t>6</w:t>
            </w:r>
            <w:r>
              <w:rPr>
                <w:rFonts w:hint="eastAsia" w:asciiTheme="majorEastAsia" w:hAnsiTheme="majorEastAsia" w:eastAsiaTheme="majorEastAsia"/>
                <w:sz w:val="21"/>
                <w:szCs w:val="21"/>
              </w:rPr>
              <w:t>:00----- 20</w:t>
            </w:r>
            <w:r>
              <w:rPr>
                <w:rFonts w:hint="eastAsia" w:asciiTheme="majorEastAsia" w:hAnsiTheme="majorEastAsia" w:eastAsiaTheme="majorEastAsia"/>
                <w:sz w:val="21"/>
                <w:szCs w:val="21"/>
                <w:lang w:val="en-US" w:eastAsia="zh-CN"/>
              </w:rPr>
              <w:t>24</w:t>
            </w:r>
            <w:r>
              <w:rPr>
                <w:rFonts w:hint="eastAsia" w:asciiTheme="majorEastAsia" w:hAnsiTheme="majorEastAsia" w:eastAsiaTheme="majorEastAsia"/>
                <w:sz w:val="21"/>
                <w:szCs w:val="21"/>
              </w:rPr>
              <w:t>-</w:t>
            </w:r>
            <w:r>
              <w:rPr>
                <w:rFonts w:hint="eastAsia" w:asciiTheme="majorEastAsia" w:hAnsiTheme="majorEastAsia" w:eastAsiaTheme="majorEastAsia"/>
                <w:sz w:val="21"/>
                <w:szCs w:val="21"/>
                <w:lang w:val="en-US" w:eastAsia="zh-CN"/>
              </w:rPr>
              <w:t xml:space="preserve">01-10 </w:t>
            </w:r>
            <w:r>
              <w:rPr>
                <w:rFonts w:hint="eastAsia" w:asciiTheme="majorEastAsia" w:hAnsiTheme="majorEastAsia" w:eastAsiaTheme="majorEastAsia"/>
                <w:sz w:val="21"/>
                <w:szCs w:val="21"/>
              </w:rPr>
              <w:t>16:00</w:t>
            </w:r>
          </w:p>
        </w:tc>
      </w:tr>
    </w:tbl>
    <w:p w14:paraId="2BF54625">
      <w:pPr>
        <w:keepNext w:val="0"/>
        <w:keepLines w:val="0"/>
        <w:pageBreakBefore w:val="0"/>
        <w:widowControl w:val="0"/>
        <w:kinsoku/>
        <w:wordWrap/>
        <w:overflowPunct/>
        <w:topLinePunct w:val="0"/>
        <w:autoSpaceDE/>
        <w:autoSpaceDN/>
        <w:bidi w:val="0"/>
        <w:adjustRightInd/>
        <w:snapToGrid/>
        <w:spacing w:before="120" w:after="120" w:line="240" w:lineRule="exact"/>
        <w:textAlignment w:val="auto"/>
        <w:rPr>
          <w:rFonts w:hint="default" w:ascii="宋体" w:hAnsi="宋体" w:cs="宋体" w:eastAsiaTheme="minorEastAsia"/>
          <w:b w:val="0"/>
          <w:bCs/>
          <w:color w:val="000000" w:themeColor="text1"/>
          <w:sz w:val="24"/>
          <w:szCs w:val="24"/>
          <w:lang w:val="en-US" w:eastAsia="zh-CN"/>
        </w:rPr>
      </w:pPr>
      <w:bookmarkStart w:id="0" w:name="OLE_LINK11"/>
      <w:bookmarkStart w:id="1" w:name="OLE_LINK10"/>
      <w:r>
        <w:rPr>
          <w:rFonts w:hint="eastAsia"/>
          <w:b/>
          <w:sz w:val="21"/>
          <w:szCs w:val="21"/>
        </w:rPr>
        <w:t>否决</w:t>
      </w:r>
      <w:r>
        <w:rPr>
          <w:rFonts w:hint="eastAsia"/>
          <w:b/>
          <w:sz w:val="21"/>
          <w:szCs w:val="21"/>
          <w:lang w:eastAsia="zh-CN"/>
        </w:rPr>
        <w:t>参选</w:t>
      </w:r>
      <w:r>
        <w:rPr>
          <w:rFonts w:hint="eastAsia"/>
          <w:b/>
          <w:sz w:val="21"/>
          <w:szCs w:val="21"/>
        </w:rPr>
        <w:t>单位原因:</w:t>
      </w:r>
      <w:bookmarkEnd w:id="0"/>
      <w:bookmarkEnd w:id="1"/>
      <w:r>
        <w:rPr>
          <w:rFonts w:hint="eastAsia"/>
          <w:b w:val="0"/>
          <w:bCs/>
          <w:sz w:val="21"/>
          <w:szCs w:val="21"/>
          <w:lang w:val="en-US" w:eastAsia="zh-CN"/>
        </w:rPr>
        <w:t>松阳县常贤古建筑有限公司，比选响应承诺函上三类人员证书A证编号错误,根据招标文件（六）比选规则29.5（8）未提供比选响应函的或提供的项目管理班子成员前后不一致或与资质证书不一致的，资格审查不予通过；</w:t>
      </w:r>
    </w:p>
    <w:p w14:paraId="6E808C8B">
      <w:pPr>
        <w:keepNext w:val="0"/>
        <w:keepLines w:val="0"/>
        <w:pageBreakBefore w:val="0"/>
        <w:kinsoku/>
        <w:wordWrap/>
        <w:overflowPunct/>
        <w:topLinePunct w:val="0"/>
        <w:autoSpaceDE/>
        <w:autoSpaceDN/>
        <w:bidi w:val="0"/>
        <w:adjustRightInd/>
        <w:snapToGrid/>
        <w:spacing w:before="120" w:after="120" w:line="300" w:lineRule="exact"/>
        <w:rPr>
          <w:b/>
          <w:sz w:val="24"/>
          <w:szCs w:val="24"/>
        </w:rPr>
      </w:pPr>
      <w:r>
        <w:rPr>
          <w:rFonts w:hint="eastAsia"/>
          <w:b/>
          <w:sz w:val="24"/>
          <w:szCs w:val="24"/>
        </w:rPr>
        <w:t>中</w:t>
      </w:r>
      <w:r>
        <w:rPr>
          <w:rFonts w:hint="eastAsia"/>
          <w:b/>
          <w:sz w:val="24"/>
          <w:szCs w:val="24"/>
          <w:lang w:eastAsia="zh-CN"/>
        </w:rPr>
        <w:t>选</w:t>
      </w:r>
      <w:r>
        <w:rPr>
          <w:rFonts w:hint="eastAsia"/>
          <w:b/>
          <w:sz w:val="24"/>
          <w:szCs w:val="24"/>
        </w:rPr>
        <w:t>候选单位</w:t>
      </w:r>
      <w:r>
        <w:rPr>
          <w:b/>
          <w:sz w:val="24"/>
          <w:szCs w:val="24"/>
        </w:rPr>
        <w:t>:</w:t>
      </w:r>
    </w:p>
    <w:tbl>
      <w:tblPr>
        <w:tblStyle w:val="8"/>
        <w:tblW w:w="15311"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631"/>
        <w:gridCol w:w="3148"/>
        <w:gridCol w:w="1305"/>
        <w:gridCol w:w="1290"/>
        <w:gridCol w:w="1170"/>
        <w:gridCol w:w="1185"/>
        <w:gridCol w:w="2820"/>
        <w:gridCol w:w="3762"/>
      </w:tblGrid>
      <w:tr w14:paraId="702AC91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73" w:hRule="atLeast"/>
          <w:jc w:val="center"/>
        </w:trPr>
        <w:tc>
          <w:tcPr>
            <w:tcW w:w="631" w:type="dxa"/>
            <w:vAlign w:val="center"/>
          </w:tcPr>
          <w:p w14:paraId="019F1164">
            <w:pPr>
              <w:keepNext w:val="0"/>
              <w:keepLines w:val="0"/>
              <w:pageBreakBefore w:val="0"/>
              <w:kinsoku/>
              <w:wordWrap/>
              <w:overflowPunct/>
              <w:topLinePunct w:val="0"/>
              <w:autoSpaceDE/>
              <w:autoSpaceDN/>
              <w:bidi w:val="0"/>
              <w:adjustRightInd/>
              <w:snapToGrid/>
              <w:spacing w:before="120" w:after="120" w:line="300" w:lineRule="exact"/>
              <w:jc w:val="center"/>
              <w:rPr>
                <w:rFonts w:ascii="宋体" w:cs="Times New Roman"/>
                <w:b/>
                <w:bCs/>
              </w:rPr>
            </w:pPr>
            <w:r>
              <w:rPr>
                <w:rFonts w:hint="eastAsia" w:ascii="宋体" w:hAnsi="宋体" w:cs="宋体"/>
                <w:b/>
                <w:bCs/>
              </w:rPr>
              <w:t>排名</w:t>
            </w:r>
          </w:p>
        </w:tc>
        <w:tc>
          <w:tcPr>
            <w:tcW w:w="3148" w:type="dxa"/>
            <w:vAlign w:val="center"/>
          </w:tcPr>
          <w:p w14:paraId="7FB80AA4">
            <w:pPr>
              <w:keepNext w:val="0"/>
              <w:keepLines w:val="0"/>
              <w:pageBreakBefore w:val="0"/>
              <w:kinsoku/>
              <w:wordWrap/>
              <w:overflowPunct/>
              <w:topLinePunct w:val="0"/>
              <w:autoSpaceDE/>
              <w:autoSpaceDN/>
              <w:bidi w:val="0"/>
              <w:adjustRightInd/>
              <w:snapToGrid/>
              <w:spacing w:before="120" w:after="120" w:line="300" w:lineRule="exact"/>
              <w:jc w:val="center"/>
              <w:rPr>
                <w:rFonts w:ascii="宋体" w:cs="Times New Roman"/>
                <w:b/>
                <w:bCs/>
              </w:rPr>
            </w:pPr>
            <w:r>
              <w:rPr>
                <w:rFonts w:hint="eastAsia" w:ascii="宋体" w:hAnsi="宋体" w:cs="宋体"/>
                <w:b/>
                <w:bCs/>
              </w:rPr>
              <w:t>单位名称</w:t>
            </w:r>
          </w:p>
        </w:tc>
        <w:tc>
          <w:tcPr>
            <w:tcW w:w="1305" w:type="dxa"/>
            <w:vAlign w:val="center"/>
          </w:tcPr>
          <w:p w14:paraId="0AA97D66">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cs="Times New Roman" w:eastAsiaTheme="minorEastAsia"/>
                <w:b/>
                <w:bCs/>
                <w:lang w:eastAsia="zh-CN"/>
              </w:rPr>
            </w:pPr>
            <w:r>
              <w:rPr>
                <w:rFonts w:hint="eastAsia" w:ascii="宋体" w:hAnsi="宋体" w:cs="宋体"/>
                <w:b/>
                <w:bCs/>
              </w:rPr>
              <w:t>中</w:t>
            </w:r>
            <w:r>
              <w:rPr>
                <w:rFonts w:hint="eastAsia" w:ascii="宋体" w:hAnsi="宋体" w:cs="宋体"/>
                <w:b/>
                <w:bCs/>
                <w:lang w:eastAsia="zh-CN"/>
              </w:rPr>
              <w:t>选</w:t>
            </w:r>
            <w:r>
              <w:rPr>
                <w:rFonts w:hint="eastAsia" w:ascii="宋体" w:hAnsi="宋体" w:cs="宋体"/>
                <w:b/>
                <w:bCs/>
              </w:rPr>
              <w:t>下浮率（%）</w:t>
            </w:r>
          </w:p>
        </w:tc>
        <w:tc>
          <w:tcPr>
            <w:tcW w:w="1290" w:type="dxa"/>
            <w:vAlign w:val="center"/>
          </w:tcPr>
          <w:p w14:paraId="0F766853">
            <w:pPr>
              <w:keepNext w:val="0"/>
              <w:keepLines w:val="0"/>
              <w:pageBreakBefore w:val="0"/>
              <w:kinsoku/>
              <w:wordWrap/>
              <w:overflowPunct/>
              <w:topLinePunct w:val="0"/>
              <w:autoSpaceDE/>
              <w:autoSpaceDN/>
              <w:bidi w:val="0"/>
              <w:adjustRightInd/>
              <w:snapToGrid/>
              <w:spacing w:before="120" w:after="120" w:line="300" w:lineRule="exact"/>
              <w:jc w:val="center"/>
              <w:rPr>
                <w:rFonts w:hint="eastAsia" w:ascii="宋体" w:hAnsi="宋体" w:cs="宋体"/>
                <w:b/>
                <w:bCs/>
              </w:rPr>
            </w:pPr>
            <w:r>
              <w:rPr>
                <w:rFonts w:hint="eastAsia" w:ascii="宋体" w:hAnsi="宋体" w:cs="宋体"/>
                <w:b/>
                <w:bCs/>
              </w:rPr>
              <w:t>中</w:t>
            </w:r>
            <w:r>
              <w:rPr>
                <w:rFonts w:hint="eastAsia" w:ascii="宋体" w:hAnsi="宋体" w:cs="宋体"/>
                <w:b/>
                <w:bCs/>
                <w:lang w:eastAsia="zh-CN"/>
              </w:rPr>
              <w:t>选</w:t>
            </w:r>
            <w:r>
              <w:rPr>
                <w:rFonts w:hint="eastAsia" w:ascii="宋体" w:hAnsi="宋体" w:cs="宋体"/>
                <w:b/>
                <w:bCs/>
              </w:rPr>
              <w:t>价</w:t>
            </w:r>
            <w:r>
              <w:rPr>
                <w:rFonts w:ascii="宋体" w:hAnsi="宋体" w:cs="宋体"/>
                <w:b/>
                <w:bCs/>
              </w:rPr>
              <w:t>(</w:t>
            </w:r>
            <w:r>
              <w:rPr>
                <w:rFonts w:hint="eastAsia" w:ascii="宋体" w:hAnsi="宋体" w:cs="宋体"/>
                <w:b/>
                <w:bCs/>
              </w:rPr>
              <w:t>万元</w:t>
            </w:r>
            <w:r>
              <w:rPr>
                <w:rFonts w:ascii="宋体" w:hAnsi="宋体" w:cs="宋体"/>
                <w:b/>
                <w:bCs/>
              </w:rPr>
              <w:t>)</w:t>
            </w:r>
            <w:r>
              <w:rPr>
                <w:rFonts w:hint="eastAsia" w:ascii="宋体" w:cs="Times New Roman"/>
                <w:b/>
                <w:bCs/>
                <w:lang w:val="en-US" w:eastAsia="zh-CN"/>
              </w:rPr>
              <w:t xml:space="preserve"> </w:t>
            </w:r>
          </w:p>
        </w:tc>
        <w:tc>
          <w:tcPr>
            <w:tcW w:w="1170" w:type="dxa"/>
            <w:vAlign w:val="center"/>
          </w:tcPr>
          <w:p w14:paraId="09D9355A">
            <w:pPr>
              <w:keepNext w:val="0"/>
              <w:keepLines w:val="0"/>
              <w:pageBreakBefore w:val="0"/>
              <w:kinsoku/>
              <w:wordWrap/>
              <w:overflowPunct/>
              <w:topLinePunct w:val="0"/>
              <w:autoSpaceDE/>
              <w:autoSpaceDN/>
              <w:bidi w:val="0"/>
              <w:adjustRightInd/>
              <w:snapToGrid/>
              <w:spacing w:before="120" w:after="120" w:line="300" w:lineRule="exact"/>
              <w:jc w:val="center"/>
              <w:rPr>
                <w:rFonts w:hint="eastAsia" w:ascii="宋体" w:cs="Times New Roman" w:eastAsiaTheme="minorEastAsia"/>
                <w:b/>
                <w:bCs/>
                <w:lang w:val="en-US" w:eastAsia="zh-CN"/>
              </w:rPr>
            </w:pPr>
            <w:r>
              <w:rPr>
                <w:rFonts w:hint="eastAsia" w:ascii="宋体" w:hAnsi="宋体" w:cs="宋体"/>
                <w:b/>
                <w:bCs/>
              </w:rPr>
              <w:t>中</w:t>
            </w:r>
            <w:r>
              <w:rPr>
                <w:rFonts w:hint="eastAsia" w:ascii="宋体" w:hAnsi="宋体" w:cs="宋体"/>
                <w:b/>
                <w:bCs/>
                <w:lang w:eastAsia="zh-CN"/>
              </w:rPr>
              <w:t>选工期</w:t>
            </w:r>
          </w:p>
        </w:tc>
        <w:tc>
          <w:tcPr>
            <w:tcW w:w="1185" w:type="dxa"/>
            <w:vAlign w:val="center"/>
          </w:tcPr>
          <w:p w14:paraId="3234D4C0">
            <w:pPr>
              <w:keepNext w:val="0"/>
              <w:keepLines w:val="0"/>
              <w:pageBreakBefore w:val="0"/>
              <w:kinsoku/>
              <w:wordWrap/>
              <w:overflowPunct/>
              <w:topLinePunct w:val="0"/>
              <w:autoSpaceDE/>
              <w:autoSpaceDN/>
              <w:bidi w:val="0"/>
              <w:adjustRightInd/>
              <w:snapToGrid/>
              <w:spacing w:before="120" w:after="120" w:line="300" w:lineRule="exact"/>
              <w:jc w:val="center"/>
              <w:rPr>
                <w:rFonts w:hint="eastAsia" w:ascii="宋体" w:hAnsi="宋体" w:cs="宋体"/>
                <w:b/>
                <w:bCs/>
              </w:rPr>
            </w:pPr>
            <w:r>
              <w:rPr>
                <w:rFonts w:hint="eastAsia" w:ascii="宋体" w:hAnsi="宋体" w:cs="宋体"/>
                <w:b/>
                <w:bCs/>
              </w:rPr>
              <w:t>质量标准</w:t>
            </w:r>
          </w:p>
        </w:tc>
        <w:tc>
          <w:tcPr>
            <w:tcW w:w="2820" w:type="dxa"/>
            <w:vAlign w:val="center"/>
          </w:tcPr>
          <w:p w14:paraId="641C2211">
            <w:pPr>
              <w:keepNext w:val="0"/>
              <w:keepLines w:val="0"/>
              <w:pageBreakBefore w:val="0"/>
              <w:kinsoku/>
              <w:wordWrap/>
              <w:overflowPunct/>
              <w:topLinePunct w:val="0"/>
              <w:autoSpaceDE/>
              <w:autoSpaceDN/>
              <w:bidi w:val="0"/>
              <w:adjustRightInd/>
              <w:snapToGrid/>
              <w:spacing w:before="120" w:after="120" w:line="300" w:lineRule="exact"/>
              <w:jc w:val="center"/>
              <w:rPr>
                <w:rFonts w:hint="eastAsia" w:ascii="宋体" w:hAnsi="宋体" w:cs="宋体"/>
                <w:b/>
                <w:bCs/>
              </w:rPr>
            </w:pPr>
            <w:r>
              <w:rPr>
                <w:rFonts w:hint="eastAsia" w:ascii="宋体" w:hAnsi="宋体" w:cs="宋体"/>
                <w:b/>
                <w:bCs/>
                <w:lang w:eastAsia="zh-CN"/>
              </w:rPr>
              <w:t>项目</w:t>
            </w:r>
            <w:r>
              <w:rPr>
                <w:rFonts w:hint="eastAsia" w:ascii="宋体" w:hAnsi="宋体" w:cs="宋体"/>
                <w:b/>
                <w:bCs/>
              </w:rPr>
              <w:t>负责人及证书编号</w:t>
            </w:r>
          </w:p>
        </w:tc>
        <w:tc>
          <w:tcPr>
            <w:tcW w:w="3762" w:type="dxa"/>
            <w:vAlign w:val="center"/>
          </w:tcPr>
          <w:p w14:paraId="4ABF7A5C">
            <w:pPr>
              <w:keepNext w:val="0"/>
              <w:keepLines w:val="0"/>
              <w:pageBreakBefore w:val="0"/>
              <w:kinsoku/>
              <w:wordWrap/>
              <w:overflowPunct/>
              <w:topLinePunct w:val="0"/>
              <w:autoSpaceDE/>
              <w:autoSpaceDN/>
              <w:bidi w:val="0"/>
              <w:adjustRightInd/>
              <w:snapToGrid/>
              <w:spacing w:before="120" w:after="120" w:line="300" w:lineRule="exact"/>
              <w:jc w:val="center"/>
              <w:rPr>
                <w:rFonts w:hint="eastAsia" w:ascii="宋体" w:hAnsi="宋体" w:cs="宋体"/>
                <w:b/>
                <w:bCs/>
              </w:rPr>
            </w:pPr>
            <w:r>
              <w:rPr>
                <w:rFonts w:hint="eastAsia" w:ascii="宋体" w:hAnsi="宋体" w:cs="宋体"/>
                <w:b/>
                <w:bCs/>
              </w:rPr>
              <w:t>企业技术负责人及</w:t>
            </w:r>
            <w:r>
              <w:rPr>
                <w:rFonts w:hint="eastAsia" w:ascii="宋体" w:hAnsi="宋体" w:cs="宋体"/>
                <w:b/>
                <w:bCs/>
                <w:lang w:val="en-US"/>
              </w:rPr>
              <w:t>A</w:t>
            </w:r>
            <w:r>
              <w:rPr>
                <w:rFonts w:hint="eastAsia" w:ascii="宋体" w:hAnsi="宋体" w:cs="宋体"/>
                <w:b/>
                <w:bCs/>
              </w:rPr>
              <w:t>证证书编号</w:t>
            </w:r>
          </w:p>
        </w:tc>
      </w:tr>
      <w:tr w14:paraId="28F72D3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8" w:hRule="atLeast"/>
          <w:jc w:val="center"/>
        </w:trPr>
        <w:tc>
          <w:tcPr>
            <w:tcW w:w="631" w:type="dxa"/>
            <w:tcBorders>
              <w:right w:val="single" w:color="auto" w:sz="4" w:space="0"/>
            </w:tcBorders>
            <w:vAlign w:val="center"/>
          </w:tcPr>
          <w:p w14:paraId="0963EA50">
            <w:pPr>
              <w:keepNext w:val="0"/>
              <w:keepLines w:val="0"/>
              <w:pageBreakBefore w:val="0"/>
              <w:kinsoku/>
              <w:wordWrap/>
              <w:overflowPunct/>
              <w:topLinePunct w:val="0"/>
              <w:autoSpaceDE/>
              <w:autoSpaceDN/>
              <w:bidi w:val="0"/>
              <w:adjustRightInd/>
              <w:snapToGrid/>
              <w:spacing w:before="120" w:after="120" w:line="300" w:lineRule="exact"/>
              <w:jc w:val="center"/>
              <w:rPr>
                <w:sz w:val="20"/>
                <w:szCs w:val="21"/>
              </w:rPr>
            </w:pPr>
            <w:r>
              <w:rPr>
                <w:sz w:val="20"/>
                <w:szCs w:val="21"/>
              </w:rPr>
              <w:t>1</w:t>
            </w:r>
          </w:p>
        </w:tc>
        <w:tc>
          <w:tcPr>
            <w:tcW w:w="3148" w:type="dxa"/>
            <w:tcBorders>
              <w:left w:val="single" w:color="auto" w:sz="4" w:space="0"/>
            </w:tcBorders>
            <w:vAlign w:val="center"/>
          </w:tcPr>
          <w:p w14:paraId="74B3F77E">
            <w:pPr>
              <w:keepNext w:val="0"/>
              <w:keepLines w:val="0"/>
              <w:widowControl/>
              <w:suppressLineNumbers w:val="0"/>
              <w:jc w:val="left"/>
              <w:textAlignment w:val="center"/>
              <w:rPr>
                <w:rFonts w:hint="eastAsia" w:cs="Times New Roman" w:eastAsiaTheme="minorEastAsia"/>
                <w:b w:val="0"/>
                <w:bCs w:val="0"/>
                <w:sz w:val="20"/>
                <w:szCs w:val="20"/>
                <w:lang w:val="en-US" w:eastAsia="zh-CN"/>
              </w:rPr>
            </w:pPr>
            <w:r>
              <w:rPr>
                <w:rFonts w:hint="eastAsia"/>
                <w:b w:val="0"/>
                <w:bCs w:val="0"/>
                <w:sz w:val="20"/>
                <w:szCs w:val="20"/>
                <w:lang w:val="en-US" w:eastAsia="zh-CN"/>
              </w:rPr>
              <w:t>浙江省临海市古建筑工程有限公司</w:t>
            </w:r>
          </w:p>
        </w:tc>
        <w:tc>
          <w:tcPr>
            <w:tcW w:w="1305" w:type="dxa"/>
            <w:vAlign w:val="center"/>
          </w:tcPr>
          <w:p w14:paraId="5A01B4F9">
            <w:pPr>
              <w:keepNext w:val="0"/>
              <w:keepLines w:val="0"/>
              <w:widowControl/>
              <w:suppressLineNumbers w:val="0"/>
              <w:jc w:val="center"/>
              <w:textAlignment w:val="center"/>
              <w:rPr>
                <w:rFonts w:hint="default" w:eastAsiaTheme="minorEastAsia"/>
                <w:b w:val="0"/>
                <w:bCs w:val="0"/>
                <w:sz w:val="20"/>
                <w:szCs w:val="20"/>
                <w:lang w:val="en-US" w:eastAsia="zh-CN"/>
              </w:rPr>
            </w:pPr>
            <w:r>
              <w:rPr>
                <w:rFonts w:hint="eastAsia"/>
                <w:b w:val="0"/>
                <w:bCs w:val="0"/>
                <w:sz w:val="20"/>
                <w:szCs w:val="20"/>
                <w:lang w:val="en-US" w:eastAsia="zh-CN"/>
              </w:rPr>
              <w:t>11.95</w:t>
            </w:r>
          </w:p>
        </w:tc>
        <w:tc>
          <w:tcPr>
            <w:tcW w:w="1290" w:type="dxa"/>
            <w:vAlign w:val="center"/>
          </w:tcPr>
          <w:p w14:paraId="664E84B4">
            <w:pPr>
              <w:jc w:val="center"/>
              <w:rPr>
                <w:rFonts w:hint="default"/>
                <w:b w:val="0"/>
                <w:bCs w:val="0"/>
                <w:sz w:val="21"/>
                <w:szCs w:val="21"/>
                <w:lang w:val="en-US" w:eastAsia="zh-CN"/>
              </w:rPr>
            </w:pPr>
            <w:r>
              <w:rPr>
                <w:rFonts w:hint="default" w:ascii="宋体" w:hAnsi="宋体" w:eastAsia="宋体" w:cs="宋体"/>
                <w:b/>
                <w:bCs/>
                <w:i w:val="0"/>
                <w:color w:val="000000"/>
                <w:kern w:val="2"/>
                <w:sz w:val="21"/>
                <w:szCs w:val="21"/>
                <w:u w:val="none"/>
                <w:lang w:val="en-US" w:eastAsia="zh-CN" w:bidi="ar-SA"/>
              </w:rPr>
              <w:t>78.3321</w:t>
            </w:r>
          </w:p>
        </w:tc>
        <w:tc>
          <w:tcPr>
            <w:tcW w:w="1170" w:type="dxa"/>
            <w:vAlign w:val="center"/>
          </w:tcPr>
          <w:p w14:paraId="23F80AD8">
            <w:pPr>
              <w:keepNext w:val="0"/>
              <w:keepLines w:val="0"/>
              <w:pageBreakBefore w:val="0"/>
              <w:kinsoku/>
              <w:wordWrap/>
              <w:overflowPunct/>
              <w:topLinePunct w:val="0"/>
              <w:autoSpaceDE/>
              <w:autoSpaceDN/>
              <w:bidi w:val="0"/>
              <w:adjustRightInd/>
              <w:snapToGrid/>
              <w:spacing w:before="120" w:after="120" w:line="300" w:lineRule="exact"/>
              <w:jc w:val="center"/>
              <w:rPr>
                <w:rFonts w:hint="eastAsia" w:eastAsiaTheme="minorEastAsia"/>
                <w:b w:val="0"/>
                <w:bCs w:val="0"/>
                <w:sz w:val="21"/>
                <w:szCs w:val="21"/>
                <w:lang w:val="en-US" w:eastAsia="zh-CN"/>
              </w:rPr>
            </w:pPr>
            <w:r>
              <w:rPr>
                <w:rFonts w:hint="eastAsia"/>
                <w:b w:val="0"/>
                <w:bCs w:val="0"/>
                <w:sz w:val="21"/>
                <w:szCs w:val="21"/>
                <w:lang w:val="en-US" w:eastAsia="zh-CN"/>
              </w:rPr>
              <w:t>90</w:t>
            </w:r>
            <w:r>
              <w:rPr>
                <w:rFonts w:hint="eastAsia" w:eastAsiaTheme="minorEastAsia"/>
                <w:b w:val="0"/>
                <w:bCs w:val="0"/>
                <w:sz w:val="21"/>
                <w:szCs w:val="21"/>
                <w:lang w:val="en-US" w:eastAsia="zh-CN"/>
              </w:rPr>
              <w:t>日历天</w:t>
            </w:r>
          </w:p>
        </w:tc>
        <w:tc>
          <w:tcPr>
            <w:tcW w:w="1185" w:type="dxa"/>
            <w:vAlign w:val="center"/>
          </w:tcPr>
          <w:p w14:paraId="369DA20A">
            <w:pPr>
              <w:keepNext w:val="0"/>
              <w:keepLines w:val="0"/>
              <w:pageBreakBefore w:val="0"/>
              <w:kinsoku/>
              <w:wordWrap/>
              <w:overflowPunct/>
              <w:topLinePunct w:val="0"/>
              <w:autoSpaceDE/>
              <w:autoSpaceDN/>
              <w:bidi w:val="0"/>
              <w:adjustRightInd/>
              <w:snapToGrid/>
              <w:spacing w:before="120" w:after="120" w:line="300" w:lineRule="exact"/>
              <w:jc w:val="center"/>
              <w:rPr>
                <w:rFonts w:hint="eastAsia" w:ascii="宋体" w:cs="Times New Roman" w:eastAsiaTheme="minorEastAsia"/>
                <w:b w:val="0"/>
                <w:bCs w:val="0"/>
                <w:sz w:val="21"/>
                <w:szCs w:val="21"/>
                <w:lang w:val="en-US" w:eastAsia="zh-CN"/>
              </w:rPr>
            </w:pPr>
            <w:r>
              <w:rPr>
                <w:rFonts w:hint="eastAsia" w:ascii="宋体" w:cs="Times New Roman"/>
                <w:b w:val="0"/>
                <w:bCs w:val="0"/>
                <w:sz w:val="21"/>
                <w:szCs w:val="21"/>
                <w:lang w:val="en-US" w:eastAsia="zh-CN"/>
              </w:rPr>
              <w:t>合格</w:t>
            </w:r>
          </w:p>
        </w:tc>
        <w:tc>
          <w:tcPr>
            <w:tcW w:w="2820" w:type="dxa"/>
            <w:vAlign w:val="center"/>
          </w:tcPr>
          <w:p w14:paraId="26EB93C5">
            <w:pPr>
              <w:keepNext w:val="0"/>
              <w:keepLines w:val="0"/>
              <w:widowControl/>
              <w:suppressLineNumbers w:val="0"/>
              <w:jc w:val="center"/>
              <w:textAlignment w:val="center"/>
              <w:rPr>
                <w:rFonts w:hint="eastAsia" w:ascii="宋体" w:hAnsi="宋体" w:eastAsia="宋体"/>
                <w:b w:val="0"/>
                <w:bCs w:val="0"/>
                <w:sz w:val="21"/>
                <w:szCs w:val="21"/>
                <w:lang w:val="en-US" w:eastAsia="zh-CN"/>
              </w:rPr>
            </w:pPr>
            <w:r>
              <w:rPr>
                <w:rFonts w:hint="eastAsia" w:ascii="宋体" w:hAnsi="宋体" w:eastAsia="宋体"/>
                <w:b w:val="0"/>
                <w:bCs w:val="0"/>
                <w:sz w:val="21"/>
                <w:szCs w:val="21"/>
                <w:lang w:val="en-US" w:eastAsia="zh-CN"/>
              </w:rPr>
              <w:t>陈彩娟</w:t>
            </w:r>
          </w:p>
          <w:p w14:paraId="4861A5D8">
            <w:pPr>
              <w:keepNext w:val="0"/>
              <w:keepLines w:val="0"/>
              <w:widowControl/>
              <w:suppressLineNumbers w:val="0"/>
              <w:jc w:val="center"/>
              <w:textAlignment w:val="center"/>
              <w:rPr>
                <w:rFonts w:hint="default" w:ascii="宋体" w:hAnsi="宋体" w:eastAsia="宋体" w:cs="Courier New"/>
                <w:color w:val="000000"/>
                <w:sz w:val="21"/>
                <w:szCs w:val="21"/>
                <w:lang w:val="en-US" w:eastAsia="zh-CN"/>
              </w:rPr>
            </w:pPr>
            <w:r>
              <w:rPr>
                <w:rFonts w:hint="eastAsia" w:ascii="宋体" w:hAnsi="宋体" w:eastAsia="宋体"/>
                <w:b w:val="0"/>
                <w:bCs w:val="0"/>
                <w:sz w:val="21"/>
                <w:szCs w:val="21"/>
                <w:lang w:val="en-US" w:eastAsia="zh-CN"/>
              </w:rPr>
              <w:t>WSG0193</w:t>
            </w:r>
          </w:p>
        </w:tc>
        <w:tc>
          <w:tcPr>
            <w:tcW w:w="3762" w:type="dxa"/>
            <w:vAlign w:val="center"/>
          </w:tcPr>
          <w:p w14:paraId="33157AB8">
            <w:pPr>
              <w:keepNext w:val="0"/>
              <w:keepLines w:val="0"/>
              <w:widowControl/>
              <w:suppressLineNumbers w:val="0"/>
              <w:ind w:firstLine="1470" w:firstLineChars="700"/>
              <w:jc w:val="left"/>
              <w:textAlignment w:val="center"/>
              <w:rPr>
                <w:rFonts w:hint="eastAsia" w:ascii="宋体" w:hAnsi="宋体" w:eastAsia="宋体" w:cs="Courier New"/>
                <w:color w:val="000000"/>
                <w:sz w:val="21"/>
                <w:szCs w:val="21"/>
                <w:lang w:val="en-US" w:eastAsia="zh-CN"/>
              </w:rPr>
            </w:pPr>
            <w:r>
              <w:rPr>
                <w:rFonts w:hint="eastAsia" w:ascii="宋体" w:hAnsi="宋体" w:eastAsia="宋体" w:cs="Courier New"/>
                <w:color w:val="000000"/>
                <w:sz w:val="21"/>
                <w:szCs w:val="21"/>
                <w:lang w:val="en-US" w:eastAsia="zh-CN"/>
              </w:rPr>
              <w:t>唐宗岳</w:t>
            </w:r>
          </w:p>
          <w:p w14:paraId="17AA77C9">
            <w:pPr>
              <w:keepNext w:val="0"/>
              <w:keepLines w:val="0"/>
              <w:widowControl/>
              <w:suppressLineNumbers w:val="0"/>
              <w:ind w:firstLine="420" w:firstLineChars="200"/>
              <w:jc w:val="left"/>
              <w:textAlignment w:val="center"/>
              <w:rPr>
                <w:rFonts w:hint="default" w:ascii="宋体" w:hAnsi="宋体" w:eastAsia="宋体" w:cs="Courier New"/>
                <w:color w:val="000000"/>
                <w:sz w:val="21"/>
                <w:szCs w:val="21"/>
                <w:lang w:val="en-US" w:eastAsia="zh-CN"/>
              </w:rPr>
            </w:pPr>
            <w:r>
              <w:rPr>
                <w:rFonts w:hint="eastAsia" w:ascii="宋体" w:hAnsi="宋体" w:eastAsia="宋体" w:cs="Courier New"/>
                <w:color w:val="000000"/>
                <w:sz w:val="21"/>
                <w:szCs w:val="21"/>
                <w:lang w:val="en-US" w:eastAsia="zh-CN"/>
              </w:rPr>
              <w:t>浙建安A（2023）2905512</w:t>
            </w:r>
          </w:p>
        </w:tc>
      </w:tr>
    </w:tbl>
    <w:p w14:paraId="25BBA200">
      <w:pPr>
        <w:keepNext w:val="0"/>
        <w:keepLines w:val="0"/>
        <w:pageBreakBefore w:val="0"/>
        <w:kinsoku/>
        <w:wordWrap/>
        <w:overflowPunct/>
        <w:topLinePunct w:val="0"/>
        <w:autoSpaceDE/>
        <w:autoSpaceDN/>
        <w:bidi w:val="0"/>
        <w:adjustRightInd/>
        <w:snapToGrid/>
        <w:spacing w:line="300" w:lineRule="exact"/>
        <w:rPr>
          <w:rFonts w:hint="eastAsia" w:ascii="Verdana" w:hAnsi="Verdana" w:cs="宋体"/>
          <w:color w:val="000000"/>
          <w:szCs w:val="21"/>
        </w:rPr>
      </w:pPr>
    </w:p>
    <w:p w14:paraId="3D6778C5">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Verdana" w:hAnsi="Verdana" w:cs="宋体"/>
          <w:color w:val="000000"/>
          <w:szCs w:val="21"/>
        </w:rPr>
      </w:pPr>
    </w:p>
    <w:p w14:paraId="40E9B0B8">
      <w:pPr>
        <w:keepNext w:val="0"/>
        <w:keepLines w:val="0"/>
        <w:pageBreakBefore w:val="0"/>
        <w:widowControl w:val="0"/>
        <w:kinsoku/>
        <w:wordWrap/>
        <w:overflowPunct/>
        <w:topLinePunct w:val="0"/>
        <w:autoSpaceDE/>
        <w:autoSpaceDN/>
        <w:bidi w:val="0"/>
        <w:adjustRightInd/>
        <w:snapToGrid/>
        <w:spacing w:line="240" w:lineRule="exact"/>
        <w:textAlignment w:val="auto"/>
        <w:rPr>
          <w:b/>
          <w:sz w:val="24"/>
          <w:szCs w:val="24"/>
        </w:rPr>
      </w:pPr>
      <w:r>
        <w:rPr>
          <w:rFonts w:hint="eastAsia" w:ascii="Verdana" w:hAnsi="Verdana" w:cs="宋体"/>
          <w:color w:val="000000"/>
          <w:szCs w:val="21"/>
        </w:rPr>
        <w:t>在公示期限内，如对中</w:t>
      </w:r>
      <w:r>
        <w:rPr>
          <w:rFonts w:hint="eastAsia" w:ascii="Verdana" w:hAnsi="Verdana" w:cs="宋体"/>
          <w:color w:val="000000"/>
          <w:szCs w:val="21"/>
          <w:lang w:eastAsia="zh-CN"/>
        </w:rPr>
        <w:t>选</w:t>
      </w:r>
      <w:bookmarkStart w:id="2" w:name="_GoBack"/>
      <w:bookmarkEnd w:id="2"/>
      <w:r>
        <w:rPr>
          <w:rFonts w:hint="eastAsia" w:ascii="Verdana" w:hAnsi="Verdana" w:cs="宋体"/>
          <w:color w:val="000000"/>
          <w:szCs w:val="21"/>
        </w:rPr>
        <w:t>结果有异议，请根据《工程建设项目招标投标活动投诉处理办法》(国家发改委等七部委令第11号)的规定要求向行业主管单位进行投诉。</w:t>
      </w:r>
    </w:p>
    <w:sectPr>
      <w:pgSz w:w="16838" w:h="11906" w:orient="landscape"/>
      <w:pgMar w:top="787" w:right="720" w:bottom="399" w:left="720"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Verdana">
    <w:panose1 w:val="020B0604030504040204"/>
    <w:charset w:val="00"/>
    <w:family w:val="swiss"/>
    <w:pitch w:val="default"/>
    <w:sig w:usb0="A1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8"/>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MWY1N2JjZjgwYTM2YWFmMzEzNDQ3NjI1NmZiNjMxYjUifQ=="/>
  </w:docVars>
  <w:rsids>
    <w:rsidRoot w:val="00B46B78"/>
    <w:rsid w:val="00023D7B"/>
    <w:rsid w:val="00031439"/>
    <w:rsid w:val="00037948"/>
    <w:rsid w:val="000D6769"/>
    <w:rsid w:val="00117F76"/>
    <w:rsid w:val="00133365"/>
    <w:rsid w:val="0017217F"/>
    <w:rsid w:val="00175702"/>
    <w:rsid w:val="001D36C9"/>
    <w:rsid w:val="001E549A"/>
    <w:rsid w:val="00224F89"/>
    <w:rsid w:val="00257979"/>
    <w:rsid w:val="00291B61"/>
    <w:rsid w:val="00295920"/>
    <w:rsid w:val="002B7C3B"/>
    <w:rsid w:val="002C19D6"/>
    <w:rsid w:val="002E2667"/>
    <w:rsid w:val="002F7BFB"/>
    <w:rsid w:val="0032622D"/>
    <w:rsid w:val="00334B3F"/>
    <w:rsid w:val="0035467D"/>
    <w:rsid w:val="003660AA"/>
    <w:rsid w:val="003B315F"/>
    <w:rsid w:val="00400C23"/>
    <w:rsid w:val="00400EB8"/>
    <w:rsid w:val="00443833"/>
    <w:rsid w:val="0046673F"/>
    <w:rsid w:val="00470EA8"/>
    <w:rsid w:val="004A35A4"/>
    <w:rsid w:val="004A40B4"/>
    <w:rsid w:val="004F4AD8"/>
    <w:rsid w:val="005344AF"/>
    <w:rsid w:val="005B4EA0"/>
    <w:rsid w:val="005B705E"/>
    <w:rsid w:val="005C19D4"/>
    <w:rsid w:val="00703B6F"/>
    <w:rsid w:val="0070700E"/>
    <w:rsid w:val="00720423"/>
    <w:rsid w:val="007230A9"/>
    <w:rsid w:val="00747CE7"/>
    <w:rsid w:val="007666EB"/>
    <w:rsid w:val="007667C2"/>
    <w:rsid w:val="007972B0"/>
    <w:rsid w:val="00856907"/>
    <w:rsid w:val="00866079"/>
    <w:rsid w:val="00867D8F"/>
    <w:rsid w:val="008950A2"/>
    <w:rsid w:val="008B1F8D"/>
    <w:rsid w:val="009006D6"/>
    <w:rsid w:val="009365F8"/>
    <w:rsid w:val="009634D6"/>
    <w:rsid w:val="00973350"/>
    <w:rsid w:val="009D1400"/>
    <w:rsid w:val="009E19C7"/>
    <w:rsid w:val="00B40984"/>
    <w:rsid w:val="00B458B4"/>
    <w:rsid w:val="00B46B78"/>
    <w:rsid w:val="00BA3F78"/>
    <w:rsid w:val="00BB79DE"/>
    <w:rsid w:val="00BC54CC"/>
    <w:rsid w:val="00C076DF"/>
    <w:rsid w:val="00C50A9F"/>
    <w:rsid w:val="00CA459D"/>
    <w:rsid w:val="00CD0C59"/>
    <w:rsid w:val="00CD3D16"/>
    <w:rsid w:val="00CD772C"/>
    <w:rsid w:val="00CE557A"/>
    <w:rsid w:val="00E415A2"/>
    <w:rsid w:val="00E444C9"/>
    <w:rsid w:val="00E551D1"/>
    <w:rsid w:val="00E81FCA"/>
    <w:rsid w:val="00EB3019"/>
    <w:rsid w:val="00EF5290"/>
    <w:rsid w:val="00F155D8"/>
    <w:rsid w:val="00F30529"/>
    <w:rsid w:val="00F70E0B"/>
    <w:rsid w:val="00FC6BDD"/>
    <w:rsid w:val="02021E79"/>
    <w:rsid w:val="0202785F"/>
    <w:rsid w:val="037806C1"/>
    <w:rsid w:val="04357B65"/>
    <w:rsid w:val="047672F4"/>
    <w:rsid w:val="050C5CBC"/>
    <w:rsid w:val="05D96DB3"/>
    <w:rsid w:val="06066C67"/>
    <w:rsid w:val="073A27A0"/>
    <w:rsid w:val="08C6406E"/>
    <w:rsid w:val="09680ADE"/>
    <w:rsid w:val="0ACA234B"/>
    <w:rsid w:val="0BC67FBD"/>
    <w:rsid w:val="0BD96C31"/>
    <w:rsid w:val="0CF85E55"/>
    <w:rsid w:val="0FDE7A0B"/>
    <w:rsid w:val="109F0A20"/>
    <w:rsid w:val="12E403D4"/>
    <w:rsid w:val="135833C0"/>
    <w:rsid w:val="17365EC7"/>
    <w:rsid w:val="1A670C91"/>
    <w:rsid w:val="1BB70228"/>
    <w:rsid w:val="1C6C7DC5"/>
    <w:rsid w:val="1CBC749F"/>
    <w:rsid w:val="1CC31C79"/>
    <w:rsid w:val="1E3D423B"/>
    <w:rsid w:val="2092503B"/>
    <w:rsid w:val="2181662E"/>
    <w:rsid w:val="22517C7B"/>
    <w:rsid w:val="22AB6075"/>
    <w:rsid w:val="230777A3"/>
    <w:rsid w:val="23B41258"/>
    <w:rsid w:val="250B3411"/>
    <w:rsid w:val="27970AC2"/>
    <w:rsid w:val="28415413"/>
    <w:rsid w:val="28CA5A39"/>
    <w:rsid w:val="28ED7209"/>
    <w:rsid w:val="2A026D17"/>
    <w:rsid w:val="2B095DA5"/>
    <w:rsid w:val="2B280EA1"/>
    <w:rsid w:val="2B2A364F"/>
    <w:rsid w:val="2D0F5145"/>
    <w:rsid w:val="2D6D262A"/>
    <w:rsid w:val="2D78268F"/>
    <w:rsid w:val="2E2C79B1"/>
    <w:rsid w:val="2E3E3EFD"/>
    <w:rsid w:val="2E9F5E37"/>
    <w:rsid w:val="2F2F0CAC"/>
    <w:rsid w:val="2F860556"/>
    <w:rsid w:val="2FDC5382"/>
    <w:rsid w:val="32BE41D5"/>
    <w:rsid w:val="34857C90"/>
    <w:rsid w:val="387429CD"/>
    <w:rsid w:val="3A5D3C8E"/>
    <w:rsid w:val="3B777E8F"/>
    <w:rsid w:val="3D6D7C1E"/>
    <w:rsid w:val="3E3C73C4"/>
    <w:rsid w:val="3EBF3879"/>
    <w:rsid w:val="3F0C1419"/>
    <w:rsid w:val="3F2373FA"/>
    <w:rsid w:val="3F946915"/>
    <w:rsid w:val="412C754A"/>
    <w:rsid w:val="435B1FAB"/>
    <w:rsid w:val="450C2416"/>
    <w:rsid w:val="4931217D"/>
    <w:rsid w:val="49721E4F"/>
    <w:rsid w:val="49A66EDA"/>
    <w:rsid w:val="4B410719"/>
    <w:rsid w:val="4D2253F7"/>
    <w:rsid w:val="4FB402C9"/>
    <w:rsid w:val="52127812"/>
    <w:rsid w:val="52B12488"/>
    <w:rsid w:val="53F9323C"/>
    <w:rsid w:val="53FA40C2"/>
    <w:rsid w:val="54CD6FF3"/>
    <w:rsid w:val="585034B3"/>
    <w:rsid w:val="58E8661F"/>
    <w:rsid w:val="5C580022"/>
    <w:rsid w:val="5CAD2C68"/>
    <w:rsid w:val="5FBD469A"/>
    <w:rsid w:val="6031647B"/>
    <w:rsid w:val="60985E02"/>
    <w:rsid w:val="61C26C35"/>
    <w:rsid w:val="63A52761"/>
    <w:rsid w:val="65863D0A"/>
    <w:rsid w:val="65883FB9"/>
    <w:rsid w:val="689C5C11"/>
    <w:rsid w:val="6A3E2FC6"/>
    <w:rsid w:val="6A60180C"/>
    <w:rsid w:val="6B3B21E8"/>
    <w:rsid w:val="6CC249C7"/>
    <w:rsid w:val="6E634F0A"/>
    <w:rsid w:val="71705CDF"/>
    <w:rsid w:val="73A00D09"/>
    <w:rsid w:val="74E57DD0"/>
    <w:rsid w:val="76012080"/>
    <w:rsid w:val="767D0E99"/>
    <w:rsid w:val="770E1443"/>
    <w:rsid w:val="78743E34"/>
    <w:rsid w:val="7C62701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nhideWhenUsed="0" w:uiPriority="0" w:semiHidden="0"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6"/>
    <w:basedOn w:val="1"/>
    <w:next w:val="1"/>
    <w:qFormat/>
    <w:uiPriority w:val="0"/>
    <w:pPr>
      <w:keepNext/>
      <w:keepLines/>
      <w:spacing w:before="240" w:beforeLines="0" w:after="64" w:afterLines="0" w:line="317" w:lineRule="auto"/>
      <w:outlineLvl w:val="5"/>
    </w:pPr>
    <w:rPr>
      <w:rFonts w:ascii="Cambria" w:hAnsi="Cambria"/>
      <w:b/>
      <w:sz w:val="24"/>
    </w:rPr>
  </w:style>
  <w:style w:type="character" w:default="1" w:styleId="10">
    <w:name w:val="Default Paragraph Font"/>
    <w:unhideWhenUsed/>
    <w:qFormat/>
    <w:uiPriority w:val="1"/>
  </w:style>
  <w:style w:type="table" w:default="1" w:styleId="8">
    <w:name w:val="Normal Table"/>
    <w:unhideWhenUsed/>
    <w:qFormat/>
    <w:uiPriority w:val="99"/>
    <w:tblPr>
      <w:tblCellMar>
        <w:top w:w="0" w:type="dxa"/>
        <w:left w:w="108" w:type="dxa"/>
        <w:bottom w:w="0" w:type="dxa"/>
        <w:right w:w="108" w:type="dxa"/>
      </w:tblCellMar>
    </w:tblPr>
  </w:style>
  <w:style w:type="paragraph" w:styleId="3">
    <w:name w:val="Plain Text"/>
    <w:basedOn w:val="1"/>
    <w:qFormat/>
    <w:uiPriority w:val="0"/>
    <w:rPr>
      <w:rFonts w:hAnsi="Courier New"/>
      <w:sz w:val="21"/>
    </w:rPr>
  </w:style>
  <w:style w:type="paragraph" w:styleId="4">
    <w:name w:val="Balloon Text"/>
    <w:basedOn w:val="1"/>
    <w:link w:val="16"/>
    <w:unhideWhenUsed/>
    <w:qFormat/>
    <w:uiPriority w:val="99"/>
    <w:rPr>
      <w:sz w:val="18"/>
      <w:szCs w:val="18"/>
    </w:rPr>
  </w:style>
  <w:style w:type="paragraph" w:styleId="5">
    <w:name w:val="footer"/>
    <w:basedOn w:val="1"/>
    <w:link w:val="15"/>
    <w:unhideWhenUsed/>
    <w:qFormat/>
    <w:uiPriority w:val="99"/>
    <w:pPr>
      <w:tabs>
        <w:tab w:val="center" w:pos="4153"/>
        <w:tab w:val="right" w:pos="8306"/>
      </w:tabs>
      <w:snapToGrid w:val="0"/>
      <w:jc w:val="left"/>
    </w:pPr>
    <w:rPr>
      <w:sz w:val="18"/>
      <w:szCs w:val="18"/>
    </w:rPr>
  </w:style>
  <w:style w:type="paragraph" w:styleId="6">
    <w:name w:val="header"/>
    <w:basedOn w:val="1"/>
    <w:link w:val="14"/>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0"/>
    <w:pPr>
      <w:widowControl/>
      <w:spacing w:before="100" w:beforeAutospacing="1" w:after="100" w:afterAutospacing="1"/>
      <w:jc w:val="left"/>
    </w:pPr>
    <w:rPr>
      <w:rFonts w:hAnsi="宋体"/>
      <w:color w:val="000000"/>
      <w:kern w:val="0"/>
      <w:sz w:val="24"/>
      <w:szCs w:val="24"/>
    </w:rPr>
  </w:style>
  <w:style w:type="table" w:styleId="9">
    <w:name w:val="Table Grid"/>
    <w:basedOn w:val="8"/>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11">
    <w:name w:val="Strong"/>
    <w:basedOn w:val="10"/>
    <w:qFormat/>
    <w:uiPriority w:val="22"/>
    <w:rPr>
      <w:b/>
      <w:bCs/>
    </w:rPr>
  </w:style>
  <w:style w:type="character" w:styleId="12">
    <w:name w:val="FollowedHyperlink"/>
    <w:basedOn w:val="10"/>
    <w:unhideWhenUsed/>
    <w:qFormat/>
    <w:uiPriority w:val="99"/>
    <w:rPr>
      <w:color w:val="333333"/>
      <w:u w:val="none"/>
    </w:rPr>
  </w:style>
  <w:style w:type="character" w:styleId="13">
    <w:name w:val="Hyperlink"/>
    <w:basedOn w:val="10"/>
    <w:unhideWhenUsed/>
    <w:qFormat/>
    <w:uiPriority w:val="99"/>
    <w:rPr>
      <w:color w:val="333333"/>
      <w:u w:val="none"/>
    </w:rPr>
  </w:style>
  <w:style w:type="character" w:customStyle="1" w:styleId="14">
    <w:name w:val="页眉 Char"/>
    <w:basedOn w:val="10"/>
    <w:link w:val="6"/>
    <w:semiHidden/>
    <w:qFormat/>
    <w:uiPriority w:val="99"/>
    <w:rPr>
      <w:sz w:val="18"/>
      <w:szCs w:val="18"/>
    </w:rPr>
  </w:style>
  <w:style w:type="character" w:customStyle="1" w:styleId="15">
    <w:name w:val="页脚 Char"/>
    <w:basedOn w:val="10"/>
    <w:link w:val="5"/>
    <w:semiHidden/>
    <w:qFormat/>
    <w:uiPriority w:val="99"/>
    <w:rPr>
      <w:sz w:val="18"/>
      <w:szCs w:val="18"/>
    </w:rPr>
  </w:style>
  <w:style w:type="character" w:customStyle="1" w:styleId="16">
    <w:name w:val="批注框文本 Char"/>
    <w:basedOn w:val="10"/>
    <w:link w:val="4"/>
    <w:semiHidden/>
    <w:qFormat/>
    <w:uiPriority w:val="99"/>
    <w:rPr>
      <w:sz w:val="18"/>
      <w:szCs w:val="18"/>
    </w:rPr>
  </w:style>
  <w:style w:type="character" w:customStyle="1" w:styleId="17">
    <w:name w:val="pubtime"/>
    <w:basedOn w:val="10"/>
    <w:qFormat/>
    <w:uiPriority w:val="0"/>
    <w:rPr>
      <w:color w:val="000000"/>
      <w:sz w:val="18"/>
      <w:szCs w:val="18"/>
    </w:rPr>
  </w:style>
  <w:style w:type="character" w:customStyle="1" w:styleId="18">
    <w:name w:val="more"/>
    <w:basedOn w:val="10"/>
    <w:qFormat/>
    <w:uiPriority w:val="0"/>
  </w:style>
  <w:style w:type="character" w:customStyle="1" w:styleId="19">
    <w:name w:val="time"/>
    <w:basedOn w:val="10"/>
    <w:qFormat/>
    <w:uiPriority w:val="0"/>
    <w:rPr>
      <w:color w:val="769199"/>
    </w:rPr>
  </w:style>
  <w:style w:type="character" w:customStyle="1" w:styleId="20">
    <w:name w:val="exap"/>
    <w:basedOn w:val="10"/>
    <w:qFormat/>
    <w:uiPriority w:val="0"/>
    <w:rPr>
      <w:sz w:val="27"/>
      <w:szCs w:val="27"/>
    </w:rPr>
  </w:style>
  <w:style w:type="character" w:customStyle="1" w:styleId="21">
    <w:name w:val="a_p_3"/>
    <w:basedOn w:val="10"/>
    <w:qFormat/>
    <w:uiPriority w:val="0"/>
    <w:rPr>
      <w:sz w:val="27"/>
      <w:szCs w:val="27"/>
    </w:rPr>
  </w:style>
  <w:style w:type="character" w:customStyle="1" w:styleId="22">
    <w:name w:val="a_p_2"/>
    <w:basedOn w:val="10"/>
    <w:qFormat/>
    <w:uiPriority w:val="0"/>
    <w:rPr>
      <w:sz w:val="27"/>
      <w:szCs w:val="27"/>
    </w:rPr>
  </w:style>
  <w:style w:type="character" w:customStyle="1" w:styleId="23">
    <w:name w:val="a_p_21"/>
    <w:basedOn w:val="10"/>
    <w:qFormat/>
    <w:uiPriority w:val="0"/>
  </w:style>
  <w:style w:type="character" w:customStyle="1" w:styleId="24">
    <w:name w:val="a_p_1"/>
    <w:basedOn w:val="10"/>
    <w:qFormat/>
    <w:uiPriority w:val="0"/>
    <w:rPr>
      <w:sz w:val="27"/>
      <w:szCs w:val="27"/>
    </w:rPr>
  </w:style>
  <w:style w:type="character" w:customStyle="1" w:styleId="25">
    <w:name w:val="ul_li_a_1"/>
    <w:basedOn w:val="10"/>
    <w:qFormat/>
    <w:uiPriority w:val="0"/>
    <w:rPr>
      <w:b/>
      <w:bCs/>
      <w:color w:val="FFFFFF"/>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387</Words>
  <Characters>469</Characters>
  <Lines>3</Lines>
  <Paragraphs>1</Paragraphs>
  <TotalTime>6</TotalTime>
  <ScaleCrop>false</ScaleCrop>
  <LinksUpToDate>false</LinksUpToDate>
  <CharactersWithSpaces>474</CharactersWithSpaces>
  <Application>WPS Office_12.1.0.17150_F1E327BC-269C-435d-A152-05C5408002CA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2018-05-17T10:12:00Z</dcterms:created>
  <dc:creator>徐赛明</dc:creator>
  <cp:lastModifiedBy>Administrator</cp:lastModifiedBy>
  <cp:lastPrinted>2025-01-07T03:15:00Z</cp:lastPrinted>
  <dcterms:modified xsi:type="dcterms:W3CDTF">2025-01-07T03:17:23Z</dcterms:modified>
  <cp:revision>53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2052-12.1.0.17150</vt:lpwstr>
  </property>
  <property fmtid="{D5CDD505-2E9C-101B-9397-08002B2CF9AE}" pid="3" name="ICV">
    <vt:lpwstr>E88EDD078FD1471BB55ED23B469BAD00</vt:lpwstr>
  </property>
  <property fmtid="{D5CDD505-2E9C-101B-9397-08002B2CF9AE}" pid="4" name="KSOTemplateDocerSaveRecord">
    <vt:lpwstr>eyJoZGlkIjoiNDYyNjgyY2ZkODkyMGI4ZmNiMGY4MjYwNDdjYjZhNmMiLCJ1c2VySWQiOiIyODIwMDc0NjgifQ==</vt:lpwstr>
  </property>
</Properties>
</file>